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黑体"/>
          <w:sz w:val="32"/>
          <w:szCs w:val="32"/>
        </w:rPr>
      </w:pPr>
      <w:bookmarkStart w:id="0" w:name="OLE_LINK2"/>
      <w:bookmarkStart w:id="1" w:name="OLE_LINK9"/>
      <w:bookmarkStart w:id="2" w:name="OLE_LINK15"/>
      <w:bookmarkStart w:id="3" w:name="OLE_LINK1"/>
      <w:bookmarkStart w:id="4" w:name="OLE_LINK16"/>
      <w:r>
        <w:rPr>
          <w:rFonts w:hint="eastAsia" w:ascii="Times New Roman" w:hAnsi="Times New Roman" w:eastAsia="黑体"/>
          <w:sz w:val="32"/>
          <w:szCs w:val="32"/>
        </w:rPr>
        <w:t>中国煤炭学会</w:t>
      </w:r>
    </w:p>
    <w:p>
      <w:pPr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标准征求意见反馈表</w:t>
      </w:r>
      <w:bookmarkEnd w:id="0"/>
      <w:bookmarkEnd w:id="1"/>
    </w:p>
    <w:bookmarkEnd w:id="2"/>
    <w:bookmarkEnd w:id="3"/>
    <w:bookmarkEnd w:id="4"/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134"/>
        <w:gridCol w:w="2410"/>
        <w:gridCol w:w="1592"/>
        <w:gridCol w:w="2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标准名称</w:t>
            </w:r>
          </w:p>
        </w:tc>
        <w:tc>
          <w:tcPr>
            <w:tcW w:w="65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电动轮矿车无人驾驶改造验收导则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反馈联系人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赵军业</w:t>
            </w: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联系电话</w:t>
            </w:r>
          </w:p>
        </w:tc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15937500382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邮箱</w:t>
            </w:r>
          </w:p>
        </w:tc>
        <w:tc>
          <w:tcPr>
            <w:tcW w:w="65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15937500382@126.com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单位名称</w:t>
            </w:r>
          </w:p>
        </w:tc>
        <w:tc>
          <w:tcPr>
            <w:tcW w:w="65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平煤股份机电处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序号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章条号</w:t>
            </w:r>
          </w:p>
        </w:tc>
        <w:tc>
          <w:tcPr>
            <w:tcW w:w="4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修改建议</w:t>
            </w:r>
          </w:p>
        </w:tc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理由及依据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8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numPr>
                <w:ilvl w:val="0"/>
                <w:numId w:val="0"/>
              </w:numPr>
              <w:tabs>
                <w:tab w:val="left" w:pos="420"/>
              </w:tabs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前言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numPr>
                <w:ilvl w:val="0"/>
                <w:numId w:val="0"/>
              </w:numPr>
              <w:tabs>
                <w:tab w:val="left" w:pos="420"/>
              </w:tabs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4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0" w:firstLineChars="200"/>
              <w:rPr>
                <w:rFonts w:hint="eastAsia" w:ascii="仿宋_GB2312" w:hAnsi="仿宋_GB2312" w:eastAsia="仿宋_GB2312" w:cs="仿宋_GB2312"/>
                <w:kern w:val="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</w:rPr>
              <w:t>本文件主要起草人：</w:t>
            </w:r>
            <w:r>
              <w:rPr>
                <w:rFonts w:hint="eastAsia" w:ascii="仿宋_GB2312" w:hAnsi="仿宋_GB2312" w:eastAsia="仿宋_GB2312" w:cs="仿宋_GB2312"/>
              </w:rPr>
              <w:t>郑安，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张集，</w:t>
            </w:r>
            <w:r>
              <w:rPr>
                <w:rFonts w:hint="eastAsia" w:ascii="仿宋_GB2312" w:hAnsi="仿宋_GB2312" w:eastAsia="仿宋_GB2312" w:cs="仿宋_GB2312"/>
              </w:rPr>
              <w:t>张波，潘博，袁金祥，赵耀忠，马广玉，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杨海军，</w:t>
            </w:r>
            <w:r>
              <w:rPr>
                <w:rFonts w:hint="eastAsia" w:ascii="仿宋_GB2312" w:hAnsi="仿宋_GB2312" w:eastAsia="仿宋_GB2312" w:cs="仿宋_GB2312"/>
              </w:rPr>
              <w:t>刘强，咸金龙，于大鹏，吴振宇，董泽阳，刘建民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，董帅</w:t>
            </w:r>
            <w:r>
              <w:rPr>
                <w:rFonts w:hint="eastAsia" w:ascii="仿宋_GB2312" w:hAnsi="仿宋_GB2312" w:eastAsia="仿宋_GB2312" w:cs="仿宋_GB2312"/>
              </w:rPr>
              <w:t>。</w:t>
            </w:r>
          </w:p>
          <w:p>
            <w:pPr>
              <w:pStyle w:val="13"/>
              <w:numPr>
                <w:ilvl w:val="0"/>
                <w:numId w:val="0"/>
              </w:numPr>
              <w:tabs>
                <w:tab w:val="left" w:pos="420"/>
              </w:tabs>
              <w:ind w:firstLine="420" w:firstLineChars="200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建议修改为：</w:t>
            </w:r>
          </w:p>
          <w:p>
            <w:pPr>
              <w:ind w:firstLine="420" w:firstLineChars="200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</w:rPr>
              <w:t>本文件主要起草人：</w:t>
            </w:r>
            <w:r>
              <w:rPr>
                <w:rFonts w:hint="eastAsia" w:ascii="仿宋_GB2312" w:hAnsi="仿宋_GB2312" w:eastAsia="仿宋_GB2312" w:cs="仿宋_GB2312"/>
              </w:rPr>
              <w:t>郑安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张集、</w:t>
            </w:r>
            <w:r>
              <w:rPr>
                <w:rFonts w:hint="eastAsia" w:ascii="仿宋_GB2312" w:hAnsi="仿宋_GB2312" w:eastAsia="仿宋_GB2312" w:cs="仿宋_GB2312"/>
              </w:rPr>
              <w:t>张波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</w:rPr>
              <w:t>潘博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</w:rPr>
              <w:t>袁金祥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</w:rPr>
              <w:t>赵耀忠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</w:rPr>
              <w:t>马广玉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杨海军、</w:t>
            </w:r>
            <w:r>
              <w:rPr>
                <w:rFonts w:hint="eastAsia" w:ascii="仿宋_GB2312" w:hAnsi="仿宋_GB2312" w:eastAsia="仿宋_GB2312" w:cs="仿宋_GB2312"/>
              </w:rPr>
              <w:t>刘强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</w:rPr>
              <w:t>咸金龙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</w:rPr>
              <w:t>于大鹏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</w:rPr>
              <w:t>吴振宇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</w:rPr>
              <w:t>董泽阳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</w:rPr>
              <w:t>刘建民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、董帅</w:t>
            </w:r>
            <w:r>
              <w:rPr>
                <w:rFonts w:hint="eastAsia" w:ascii="仿宋_GB2312" w:hAnsi="仿宋_GB2312" w:eastAsia="仿宋_GB2312" w:cs="仿宋_GB2312"/>
              </w:rPr>
              <w:t>。</w:t>
            </w:r>
          </w:p>
        </w:tc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numPr>
                <w:ilvl w:val="0"/>
                <w:numId w:val="0"/>
              </w:numPr>
              <w:tabs>
                <w:tab w:val="left" w:pos="420"/>
              </w:tabs>
              <w:ind w:firstLine="420" w:firstLineChars="200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中华人民共和国国家标准GB/T 1.1-2020 标准化工作导则第1部分：标准化文件的结构和起草规则中前言。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numPr>
                <w:ilvl w:val="0"/>
                <w:numId w:val="0"/>
              </w:numPr>
              <w:tabs>
                <w:tab w:val="left" w:pos="420"/>
              </w:tabs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5.2.2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numPr>
                <w:ilvl w:val="0"/>
                <w:numId w:val="0"/>
              </w:numPr>
              <w:tabs>
                <w:tab w:val="left" w:pos="420"/>
              </w:tabs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a</w:t>
            </w:r>
          </w:p>
        </w:tc>
        <w:tc>
          <w:tcPr>
            <w:tcW w:w="4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numPr>
                <w:ilvl w:val="0"/>
                <w:numId w:val="0"/>
              </w:numPr>
              <w:tabs>
                <w:tab w:val="left" w:pos="420"/>
              </w:tabs>
              <w:ind w:firstLine="420" w:firstLineChars="200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液压系统拆卸前必须进行设备停机、断电、泄压等正确安全操作步骤进行，确定系统无压后进行下一步工作，有必要时应采用吸真空装置防止液压油泄露。</w:t>
            </w:r>
          </w:p>
          <w:p>
            <w:pPr>
              <w:pStyle w:val="13"/>
              <w:numPr>
                <w:ilvl w:val="0"/>
                <w:numId w:val="0"/>
              </w:numPr>
              <w:tabs>
                <w:tab w:val="left" w:pos="420"/>
              </w:tabs>
              <w:ind w:firstLine="420" w:firstLineChars="200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建议修改为：</w:t>
            </w:r>
          </w:p>
          <w:p>
            <w:pPr>
              <w:pStyle w:val="13"/>
              <w:numPr>
                <w:ilvl w:val="0"/>
                <w:numId w:val="0"/>
              </w:numPr>
              <w:tabs>
                <w:tab w:val="left" w:pos="420"/>
              </w:tabs>
              <w:ind w:firstLine="420" w:firstLineChars="200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液压系统拆卸前必须进行设备停机、断电、泄压等安全操作步骤进行，确定系统无压后进行下一步工作，有必要时应采用真空抽吸装置防止液压油泄露。</w:t>
            </w:r>
          </w:p>
        </w:tc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numPr>
                <w:ilvl w:val="0"/>
                <w:numId w:val="0"/>
              </w:numPr>
              <w:tabs>
                <w:tab w:val="left" w:pos="420"/>
              </w:tabs>
              <w:ind w:firstLine="420" w:firstLineChars="200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“正确安全操作步骤进行”表述重复，安全操作步骤本质应该为正确的。</w:t>
            </w:r>
          </w:p>
          <w:p>
            <w:pPr>
              <w:pStyle w:val="13"/>
              <w:numPr>
                <w:ilvl w:val="0"/>
                <w:numId w:val="0"/>
              </w:numPr>
              <w:tabs>
                <w:tab w:val="left" w:pos="420"/>
              </w:tabs>
              <w:ind w:firstLine="420" w:firstLineChars="200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“吸真空装置”表述不确切。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numPr>
                <w:ilvl w:val="0"/>
                <w:numId w:val="0"/>
              </w:numPr>
              <w:tabs>
                <w:tab w:val="left" w:pos="420"/>
              </w:tabs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5.2.2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numPr>
                <w:ilvl w:val="0"/>
                <w:numId w:val="0"/>
              </w:numPr>
              <w:tabs>
                <w:tab w:val="left" w:pos="420"/>
              </w:tabs>
              <w:ind w:firstLine="420" w:firstLineChars="200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d</w:t>
            </w:r>
          </w:p>
        </w:tc>
        <w:tc>
          <w:tcPr>
            <w:tcW w:w="4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numPr>
                <w:ilvl w:val="0"/>
                <w:numId w:val="0"/>
              </w:numPr>
              <w:tabs>
                <w:tab w:val="left" w:pos="420"/>
              </w:tabs>
              <w:ind w:firstLine="420" w:firstLineChars="200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管道敷设位置应便于拆卸，且不妨碍检修，以及机电设备运转、维护和检修。</w:t>
            </w:r>
          </w:p>
          <w:p>
            <w:pPr>
              <w:pStyle w:val="13"/>
              <w:numPr>
                <w:ilvl w:val="0"/>
                <w:numId w:val="0"/>
              </w:numPr>
              <w:tabs>
                <w:tab w:val="left" w:pos="420"/>
              </w:tabs>
              <w:ind w:firstLine="420" w:firstLineChars="200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建议修改为：</w:t>
            </w:r>
          </w:p>
          <w:p>
            <w:pPr>
              <w:pStyle w:val="13"/>
              <w:numPr>
                <w:ilvl w:val="0"/>
                <w:numId w:val="0"/>
              </w:numPr>
              <w:tabs>
                <w:tab w:val="left" w:pos="420"/>
              </w:tabs>
              <w:ind w:firstLine="420" w:firstLineChars="200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管道敷设位置应便于拆卸，且不妨碍检修，以及设备运转、维护和检修。</w:t>
            </w:r>
          </w:p>
        </w:tc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numPr>
                <w:ilvl w:val="0"/>
                <w:numId w:val="0"/>
              </w:numPr>
              <w:tabs>
                <w:tab w:val="left" w:pos="420"/>
              </w:tabs>
              <w:ind w:firstLine="420" w:firstLineChars="200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“机电设备”修改为设备范围更广。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5.2.2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numPr>
                <w:ilvl w:val="0"/>
                <w:numId w:val="0"/>
              </w:numPr>
              <w:tabs>
                <w:tab w:val="left" w:pos="420"/>
              </w:tabs>
              <w:ind w:firstLine="420" w:firstLineChars="200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h</w:t>
            </w:r>
          </w:p>
        </w:tc>
        <w:tc>
          <w:tcPr>
            <w:tcW w:w="4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numPr>
                <w:ilvl w:val="0"/>
                <w:numId w:val="0"/>
              </w:numPr>
              <w:tabs>
                <w:tab w:val="left" w:pos="420"/>
              </w:tabs>
              <w:ind w:firstLine="420" w:firstLineChars="200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管子与设备连接不应使设备承受附加外力，并在连接时不得使脏物设备及元件内。</w:t>
            </w:r>
          </w:p>
          <w:p>
            <w:pPr>
              <w:pStyle w:val="13"/>
              <w:numPr>
                <w:ilvl w:val="0"/>
                <w:numId w:val="0"/>
              </w:numPr>
              <w:tabs>
                <w:tab w:val="left" w:pos="420"/>
              </w:tabs>
              <w:ind w:firstLine="420" w:firstLineChars="200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建议修改为：</w:t>
            </w:r>
          </w:p>
          <w:p>
            <w:pPr>
              <w:pStyle w:val="13"/>
              <w:numPr>
                <w:ilvl w:val="0"/>
                <w:numId w:val="0"/>
              </w:numPr>
              <w:tabs>
                <w:tab w:val="left" w:pos="420"/>
              </w:tabs>
              <w:ind w:firstLine="420" w:firstLineChars="200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管子与设备连接不应使设备承受附加外力，并在连接时不得使脏物进入设备及元件内。</w:t>
            </w:r>
          </w:p>
        </w:tc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0" w:firstLineChars="200"/>
              <w:jc w:val="both"/>
              <w:rPr>
                <w:rFonts w:hint="default" w:ascii="Times New Roman" w:hAnsi="Times New Roman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0"/>
                <w:lang w:val="en-US" w:eastAsia="zh-CN" w:bidi="ar-SA"/>
              </w:rPr>
              <w:t>叙述不严谨。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6.4.5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4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</w:rPr>
              <w:t>人工驾驶车辆采集一段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GPS</w:t>
            </w:r>
            <w:r>
              <w:rPr>
                <w:rFonts w:hint="eastAsia" w:ascii="仿宋_GB2312" w:hAnsi="仿宋_GB2312" w:eastAsia="仿宋_GB2312" w:cs="仿宋_GB2312"/>
              </w:rPr>
              <w:t>轨迹，将车辆切换至自动驾驶状态，按照设定期望速度自主行驶；并在车辆两侧与静态测试位置处摆放不同障碍物，分析在车辆处于动态工况下的，障碍物检测能力</w:t>
            </w:r>
          </w:p>
        </w:tc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0" w:firstLineChars="200"/>
              <w:jc w:val="both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句末缺少句号。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6.4.7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4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在车辆后方中心线位置远处静态摆放障碍物，车辆以5km/s向障碍物靠近，分析单线激光雷达和四线激光雷达的识别能力。</w:t>
            </w:r>
          </w:p>
        </w:tc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0" w:firstLineChars="200"/>
              <w:jc w:val="both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5km/s单位不准确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6.4.7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4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在车辆后方摆放宽体障碍物，模拟挡墙，分析单线激光雷达和四线激光雷识别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能力；</w:t>
            </w:r>
          </w:p>
        </w:tc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 xml:space="preserve">  句末分号建议改为句</w:t>
            </w:r>
          </w:p>
          <w:p>
            <w:pPr>
              <w:jc w:val="both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6.4.9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4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开启所有传感器数据采集、信息处理节点，验证局部场景模型的构建能力，分析模型构建频率以及障碍物的实际检测能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力；</w:t>
            </w:r>
          </w:p>
        </w:tc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 xml:space="preserve"> 句末分号建议改为句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4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both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建议无人驾驶技术标准，真正实现无人驾驶。</w:t>
            </w:r>
          </w:p>
        </w:tc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</w:trPr>
        <w:tc>
          <w:tcPr>
            <w:tcW w:w="85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签字</w:t>
            </w:r>
          </w:p>
          <w:p>
            <w:pPr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年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月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日</w:t>
            </w:r>
          </w:p>
        </w:tc>
      </w:tr>
    </w:tbl>
    <w:p>
      <w:pPr>
        <w:jc w:val="left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注：表格篇幅不够可另加页。</w:t>
      </w:r>
    </w:p>
    <w:p>
      <w:pPr>
        <w:jc w:val="left"/>
        <w:rPr>
          <w:rFonts w:hint="eastAsia" w:ascii="Times New Roman" w:hAnsi="Times New Roman" w:eastAsia="仿宋_GB2312"/>
          <w:sz w:val="28"/>
          <w:szCs w:val="28"/>
        </w:rPr>
      </w:pPr>
    </w:p>
    <w:p>
      <w:pPr>
        <w:jc w:val="left"/>
        <w:rPr>
          <w:rFonts w:hint="eastAsia" w:ascii="Times New Roman" w:hAnsi="Times New Roman" w:eastAsia="仿宋_GB2312"/>
          <w:sz w:val="28"/>
          <w:szCs w:val="28"/>
        </w:rPr>
      </w:pPr>
    </w:p>
    <w:p>
      <w:pPr>
        <w:jc w:val="center"/>
        <w:rPr>
          <w:rFonts w:hint="eastAsia" w:ascii="Times New Roman" w:hAnsi="Times New Roman" w:eastAsia="黑体"/>
          <w:sz w:val="32"/>
          <w:szCs w:val="32"/>
        </w:rPr>
      </w:pPr>
    </w:p>
    <w:p>
      <w:pPr>
        <w:jc w:val="center"/>
        <w:rPr>
          <w:rFonts w:hint="eastAsia" w:ascii="Times New Roman" w:hAnsi="Times New Roman" w:eastAsia="黑体"/>
          <w:sz w:val="32"/>
          <w:szCs w:val="32"/>
        </w:rPr>
      </w:pPr>
    </w:p>
    <w:p>
      <w:pPr>
        <w:jc w:val="center"/>
        <w:rPr>
          <w:rFonts w:hint="eastAsia" w:ascii="Times New Roman" w:hAnsi="Times New Roman" w:eastAsia="黑体"/>
          <w:sz w:val="32"/>
          <w:szCs w:val="32"/>
        </w:rPr>
      </w:pPr>
    </w:p>
    <w:p>
      <w:pPr>
        <w:jc w:val="center"/>
        <w:rPr>
          <w:rFonts w:hint="eastAsia" w:ascii="Times New Roman" w:hAnsi="Times New Roman" w:eastAsia="黑体"/>
          <w:sz w:val="32"/>
          <w:szCs w:val="32"/>
        </w:rPr>
      </w:pPr>
    </w:p>
    <w:p>
      <w:pPr>
        <w:jc w:val="center"/>
        <w:rPr>
          <w:rFonts w:hint="eastAsia" w:ascii="Times New Roman" w:hAnsi="Times New Roman" w:eastAsia="黑体"/>
          <w:sz w:val="32"/>
          <w:szCs w:val="32"/>
        </w:rPr>
      </w:pPr>
    </w:p>
    <w:p>
      <w:pPr>
        <w:jc w:val="center"/>
        <w:rPr>
          <w:rFonts w:hint="eastAsia" w:ascii="Times New Roman" w:hAnsi="Times New Roman" w:eastAsia="黑体"/>
          <w:sz w:val="32"/>
          <w:szCs w:val="32"/>
        </w:rPr>
      </w:pPr>
    </w:p>
    <w:p>
      <w:pPr>
        <w:jc w:val="both"/>
        <w:rPr>
          <w:rFonts w:hint="eastAsia" w:ascii="Times New Roman" w:hAnsi="Times New Roman" w:eastAsia="黑体"/>
          <w:sz w:val="32"/>
          <w:szCs w:val="32"/>
        </w:rPr>
      </w:pPr>
    </w:p>
    <w:p>
      <w:pPr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中国煤炭学会</w:t>
      </w:r>
    </w:p>
    <w:p>
      <w:pPr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标准征求意见反馈表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134"/>
        <w:gridCol w:w="2410"/>
        <w:gridCol w:w="1592"/>
        <w:gridCol w:w="2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标准名称</w:t>
            </w:r>
          </w:p>
        </w:tc>
        <w:tc>
          <w:tcPr>
            <w:tcW w:w="65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无人驾驶矿用自卸车安全员操作标准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反馈联系人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赵军业</w:t>
            </w: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联系电话</w:t>
            </w:r>
          </w:p>
        </w:tc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15937500382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邮箱</w:t>
            </w:r>
          </w:p>
        </w:tc>
        <w:tc>
          <w:tcPr>
            <w:tcW w:w="65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15937500382@126.com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单位名称</w:t>
            </w:r>
          </w:p>
        </w:tc>
        <w:tc>
          <w:tcPr>
            <w:tcW w:w="65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平煤股份机电处</w:t>
            </w:r>
            <w:bookmarkStart w:id="5" w:name="_GoBack"/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序号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章条号</w:t>
            </w:r>
          </w:p>
        </w:tc>
        <w:tc>
          <w:tcPr>
            <w:tcW w:w="4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修改建议</w:t>
            </w:r>
          </w:p>
        </w:tc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理由及依据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2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3"/>
              <w:numPr>
                <w:ilvl w:val="0"/>
                <w:numId w:val="0"/>
              </w:numPr>
              <w:tabs>
                <w:tab w:val="left" w:pos="420"/>
              </w:tabs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前言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3"/>
              <w:numPr>
                <w:ilvl w:val="0"/>
                <w:numId w:val="0"/>
              </w:numPr>
              <w:tabs>
                <w:tab w:val="left" w:pos="420"/>
              </w:tabs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val="en-US" w:eastAsia="zh-CN" w:bidi="ar-SA"/>
              </w:rPr>
            </w:pPr>
          </w:p>
        </w:tc>
        <w:tc>
          <w:tcPr>
            <w:tcW w:w="4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420" w:firstLineChars="200"/>
              <w:rPr>
                <w:rFonts w:hint="eastAsia" w:ascii="仿宋_GB2312" w:hAnsi="仿宋_GB2312" w:eastAsia="仿宋_GB2312" w:cs="仿宋_GB2312"/>
                <w:kern w:val="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</w:rPr>
              <w:t>本文件主要起草人：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郑安，李树学、李继、张集、张波，李伟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袁金祥，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赵耀忠，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潘博，舒应秋，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沈洋，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马广玉，杨海军，刘强，咸金龙，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王玉龙，董帅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。</w:t>
            </w:r>
          </w:p>
          <w:p>
            <w:pPr>
              <w:pStyle w:val="13"/>
              <w:numPr>
                <w:ilvl w:val="0"/>
                <w:numId w:val="0"/>
              </w:numPr>
              <w:tabs>
                <w:tab w:val="left" w:pos="420"/>
              </w:tabs>
              <w:ind w:firstLine="420" w:firstLineChars="200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建议修改为：</w:t>
            </w:r>
          </w:p>
          <w:p>
            <w:pPr>
              <w:ind w:firstLine="420" w:firstLineChars="200"/>
              <w:rPr>
                <w:rFonts w:hint="eastAsia" w:ascii="仿宋_GB2312" w:hAnsi="仿宋_GB2312" w:eastAsia="仿宋_GB2312" w:cs="仿宋_GB2312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</w:rPr>
              <w:t>本文件主要起草人：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郑安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李树学、李继、张集、张波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李伟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袁金祥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赵耀忠、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潘博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舒应秋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沈洋、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马广玉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杨海军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刘强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咸金龙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王玉龙、董帅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。</w:t>
            </w:r>
          </w:p>
        </w:tc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3"/>
              <w:numPr>
                <w:ilvl w:val="0"/>
                <w:numId w:val="0"/>
              </w:numPr>
              <w:tabs>
                <w:tab w:val="left" w:pos="420"/>
              </w:tabs>
              <w:ind w:left="0" w:leftChars="0" w:firstLine="420" w:firstLineChars="200"/>
              <w:rPr>
                <w:rFonts w:hint="eastAsia" w:ascii="仿宋_GB2312" w:hAnsi="仿宋_GB2312" w:eastAsia="仿宋_GB2312" w:cs="仿宋_GB2312"/>
                <w:sz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中华人民共和国国家标准GB/T 1.1-2020 标准化工作导则第1部分：标准化文件的结构和起草规则中前言。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4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安全员要加强安全知识的学习，具备安全驾驶车辆的技术能力，履行矿用自卸卡车司机岗位安全职责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。</w:t>
            </w:r>
          </w:p>
          <w:p>
            <w:pPr>
              <w:pStyle w:val="13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建议修改为：</w:t>
            </w:r>
          </w:p>
          <w:p>
            <w:pPr>
              <w:pStyle w:val="13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安全员要加强安全知识的学习，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持有驾驶相应车辆的“中华人民共和国机动车驾驶证”，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具备安全驾驶车辆的技术能力，履行矿用自卸卡车司机岗位安全职责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。</w:t>
            </w:r>
          </w:p>
        </w:tc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《中华人民共和国道路交通安全法》第十九条　驾驶机动车，应当依法取得机动车驾驶证。</w:t>
            </w:r>
          </w:p>
          <w:p>
            <w:pPr>
              <w:pStyle w:val="13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申请机动车驾驶证，应当符合国务院公安部门规定的驾驶许可条件；经考试合格后，由公安机关交通管理部门发给相应类别的机动车驾驶证。</w:t>
            </w:r>
          </w:p>
          <w:p>
            <w:pPr>
              <w:pStyle w:val="13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驾驶人应当按照驾驶证载明的准驾车型驾驶机动车；驾驶机动车时，应当随身携带机动车驾驶证。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5.1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5.1.1</w:t>
            </w:r>
          </w:p>
        </w:tc>
        <w:tc>
          <w:tcPr>
            <w:tcW w:w="4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——安全员每班出车前必须对全车进行仔细的检查，确认各系统、各安全装置可靠后方可操控车辆。</w:t>
            </w:r>
          </w:p>
          <w:p>
            <w:pPr>
              <w:pStyle w:val="13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建议修改为：</w:t>
            </w:r>
          </w:p>
          <w:p>
            <w:pPr>
              <w:pStyle w:val="13"/>
              <w:rPr>
                <w:rFonts w:hint="default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——安全员每班出车前必须检查车辆周围环境情况，对全车进行仔细的检查，确认各系统、各安全装置可靠后方可操控车辆。在驾驶室内应佩戴好安全带。</w:t>
            </w:r>
          </w:p>
        </w:tc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0" w:firstLineChars="200"/>
              <w:jc w:val="both"/>
              <w:rPr>
                <w:rFonts w:hint="default" w:ascii="Times New Roman" w:hAnsi="Times New Roman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1"/>
                <w:szCs w:val="21"/>
                <w:lang w:val="en-US" w:eastAsia="zh-CN"/>
              </w:rPr>
              <w:t>驾驶车辆前应对车辆周围进行环绕一周检查，以免车前、车后有人或其他障碍物。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5.1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5.1.2a）</w:t>
            </w:r>
          </w:p>
          <w:p>
            <w:pPr>
              <w:jc w:val="both"/>
              <w:rPr>
                <w:rFonts w:hint="default" w:ascii="Times New Roman" w:hAnsi="Times New Roman" w:eastAsia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5）</w:t>
            </w:r>
          </w:p>
        </w:tc>
        <w:tc>
          <w:tcPr>
            <w:tcW w:w="4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正确检查发动机机油油位，利用扶手梯子小心爬到油尺处台阶，按要求拉出量油尺，检查油位是否在安全、正确的范围。如果不在，在车辆运行前按要求把油加至正确油位。</w:t>
            </w:r>
          </w:p>
          <w:p>
            <w:pPr>
              <w:pStyle w:val="13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建议修改为：</w:t>
            </w:r>
          </w:p>
          <w:p>
            <w:pPr>
              <w:pStyle w:val="13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正确检查发动机机油油位，利用扶手梯子小心爬到油尺处台阶，按要求拉出量油尺，检查油位是否在安全、正确的范围。</w:t>
            </w:r>
          </w:p>
        </w:tc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0"/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“如果不在，在车辆运行前按要求把油加至正</w:t>
            </w:r>
          </w:p>
          <w:p>
            <w:pPr>
              <w:jc w:val="both"/>
              <w:rPr>
                <w:rFonts w:hint="default" w:ascii="Times New Roman" w:hAnsi="Times New Roman" w:eastAsia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确油位”是处理办法。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5.1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5.1.2a）</w:t>
            </w:r>
          </w:p>
          <w:p>
            <w:pPr>
              <w:jc w:val="both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9）</w:t>
            </w:r>
          </w:p>
        </w:tc>
        <w:tc>
          <w:tcPr>
            <w:tcW w:w="4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numPr>
                <w:ilvl w:val="0"/>
                <w:numId w:val="0"/>
              </w:numPr>
              <w:tabs>
                <w:tab w:val="left" w:pos="397"/>
              </w:tabs>
              <w:ind w:firstLine="420" w:firstLineChars="200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检查前轮轮胎及轮辋总成，轮胎是否有深的伤痕或损坏，胎面花纹的磨损是否严重，两侧磨损是否均匀，轮辋夹子安装是否坚固，是否有丢失的螺母，轮胎充气压力是否合适。</w:t>
            </w:r>
          </w:p>
          <w:p>
            <w:pPr>
              <w:pStyle w:val="13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建议修改为：</w:t>
            </w:r>
          </w:p>
          <w:p>
            <w:pPr>
              <w:pStyle w:val="13"/>
              <w:numPr>
                <w:ilvl w:val="0"/>
                <w:numId w:val="0"/>
              </w:numPr>
              <w:tabs>
                <w:tab w:val="left" w:pos="397"/>
              </w:tabs>
              <w:ind w:firstLine="420" w:firstLineChars="20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检查前轮轮胎及轮辋总成，轮胎是否有深的伤痕或损坏，胎面花纹的磨损是否严重，两侧磨损是否均匀，轮辋夹子安装是否坚固，是否有丢失的螺母，轮胎胎压是否合适。</w:t>
            </w:r>
          </w:p>
        </w:tc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轮胎充气压力修改为轮</w:t>
            </w:r>
          </w:p>
          <w:p>
            <w:pPr>
              <w:jc w:val="both"/>
              <w:rPr>
                <w:rFonts w:hint="default" w:ascii="Times New Roman" w:hAnsi="Times New Roman" w:eastAsia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胎压更准确。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5.1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5.1.2a）</w:t>
            </w:r>
          </w:p>
          <w:p>
            <w:pPr>
              <w:jc w:val="both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10）</w:t>
            </w:r>
          </w:p>
        </w:tc>
        <w:tc>
          <w:tcPr>
            <w:tcW w:w="4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0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0"/>
                <w:lang w:val="en-US" w:eastAsia="zh-CN" w:bidi="ar-SA"/>
              </w:rPr>
              <w:t>检查左侧液压油箱是否损坏或泄漏，</w:t>
            </w:r>
          </w:p>
          <w:p>
            <w:pPr>
              <w:pStyle w:val="13"/>
              <w:ind w:left="0" w:leftChars="0" w:firstLine="0" w:firstLineChars="0"/>
              <w:rPr>
                <w:rFonts w:hint="eastAsia" w:ascii="仿宋_GB2312" w:hAnsi="仿宋_GB2312" w:eastAsia="仿宋_GB2312" w:cs="仿宋_GB2312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0"/>
                <w:lang w:val="en-US" w:eastAsia="zh-CN" w:bidi="ar-SA"/>
              </w:rPr>
              <w:t>通过视窗螺母检查油量。</w:t>
            </w:r>
          </w:p>
          <w:p>
            <w:pPr>
              <w:pStyle w:val="13"/>
              <w:ind w:left="0" w:leftChars="0" w:firstLine="420" w:firstLineChars="20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建议修改为：</w:t>
            </w:r>
          </w:p>
          <w:p>
            <w:pPr>
              <w:ind w:firstLine="420"/>
              <w:jc w:val="both"/>
              <w:rPr>
                <w:rFonts w:hint="eastAsia" w:ascii="仿宋_GB2312" w:hAnsi="仿宋_GB2312" w:eastAsia="仿宋_GB2312" w:cs="仿宋_GB2312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0"/>
                <w:lang w:val="en-US" w:eastAsia="zh-CN" w:bidi="ar-SA"/>
              </w:rPr>
              <w:t>检查液压油箱是否损坏或泄漏，</w:t>
            </w:r>
          </w:p>
          <w:p>
            <w:pPr>
              <w:pStyle w:val="13"/>
              <w:ind w:left="0" w:leftChars="0" w:firstLine="0" w:firstLineChars="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0"/>
                <w:lang w:val="en-US" w:eastAsia="zh-CN" w:bidi="ar-SA"/>
              </w:rPr>
              <w:t>通过视窗螺母检查油量。</w:t>
            </w:r>
          </w:p>
        </w:tc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0"/>
                <w:lang w:val="en-US" w:eastAsia="zh-CN" w:bidi="ar-SA"/>
              </w:rPr>
              <w:t>去掉方位词更直观。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5.1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5.1.2a）</w:t>
            </w:r>
          </w:p>
          <w:p>
            <w:pPr>
              <w:jc w:val="both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11）</w:t>
            </w:r>
          </w:p>
        </w:tc>
        <w:tc>
          <w:tcPr>
            <w:tcW w:w="4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0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0"/>
                <w:lang w:val="en-US" w:eastAsia="zh-CN" w:bidi="ar-SA"/>
              </w:rPr>
              <w:t>检查左侧液压油箱附近的液压元件或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0"/>
                <w:lang w:val="en-US" w:eastAsia="zh-CN" w:bidi="ar-SA"/>
              </w:rPr>
              <w:t>其它部件是否损坏或泄漏。</w:t>
            </w:r>
          </w:p>
          <w:p>
            <w:pPr>
              <w:pStyle w:val="13"/>
              <w:ind w:left="0" w:leftChars="0" w:firstLine="420" w:firstLineChars="20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建议修改为：</w:t>
            </w:r>
          </w:p>
          <w:p>
            <w:pPr>
              <w:ind w:firstLine="420"/>
              <w:jc w:val="both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0"/>
                <w:lang w:val="en-US" w:eastAsia="zh-CN" w:bidi="ar-SA"/>
              </w:rPr>
              <w:t>检查液压油箱附近的液压元件或其它部件是否损坏或泄漏。</w:t>
            </w:r>
          </w:p>
        </w:tc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0"/>
                <w:lang w:val="en-US" w:eastAsia="zh-CN" w:bidi="ar-SA"/>
              </w:rPr>
              <w:t>去掉方位词更直观。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5.1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5.1.2a）</w:t>
            </w:r>
          </w:p>
          <w:p>
            <w:pPr>
              <w:jc w:val="both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13）</w:t>
            </w:r>
          </w:p>
        </w:tc>
        <w:tc>
          <w:tcPr>
            <w:tcW w:w="4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numPr>
                <w:ilvl w:val="0"/>
                <w:numId w:val="0"/>
              </w:numPr>
              <w:tabs>
                <w:tab w:val="left" w:pos="397"/>
              </w:tabs>
              <w:ind w:firstLine="420" w:firstLineChars="200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检查后轮轮胎和轮辋总成，轮胎是否有深的伤痕或损坏，胎面花纹的磨损是否严重，两侧磨损是否均匀，轮辋夹子安装是否坚固，是否有丢失的螺母，轮胎充气压力是否合适。检查排石器是否能自由移动，是否严重磨损或损坏。</w:t>
            </w:r>
          </w:p>
          <w:p>
            <w:pPr>
              <w:pStyle w:val="13"/>
              <w:numPr>
                <w:ilvl w:val="0"/>
                <w:numId w:val="0"/>
              </w:numPr>
              <w:tabs>
                <w:tab w:val="left" w:pos="397"/>
              </w:tabs>
              <w:ind w:firstLine="420" w:firstLineChars="20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建议修改为：</w:t>
            </w:r>
          </w:p>
          <w:p>
            <w:pPr>
              <w:pStyle w:val="13"/>
              <w:numPr>
                <w:ilvl w:val="0"/>
                <w:numId w:val="0"/>
              </w:numPr>
              <w:tabs>
                <w:tab w:val="left" w:pos="397"/>
              </w:tabs>
              <w:ind w:firstLine="420" w:firstLineChars="20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检查排石器是否能自由移动，是否严重磨损或损坏。</w:t>
            </w:r>
          </w:p>
        </w:tc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0" w:firstLineChars="200"/>
              <w:jc w:val="both"/>
              <w:rPr>
                <w:rFonts w:hint="default" w:ascii="Times New Roman" w:hAnsi="Times New Roman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与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5.1.2a）9）部分内容重复。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5.1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5.1.2a）</w:t>
            </w:r>
          </w:p>
          <w:p>
            <w:pPr>
              <w:jc w:val="both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24）</w:t>
            </w:r>
          </w:p>
        </w:tc>
        <w:tc>
          <w:tcPr>
            <w:tcW w:w="4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numPr>
                <w:ilvl w:val="0"/>
                <w:numId w:val="0"/>
              </w:numPr>
              <w:tabs>
                <w:tab w:val="left" w:pos="397"/>
              </w:tabs>
              <w:ind w:firstLine="420" w:firstLineChars="200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检查右侧的燃油箱是否损坏或漏油，通过视窗检查油量，手压开关是否可用。</w:t>
            </w:r>
          </w:p>
          <w:p>
            <w:pPr>
              <w:pStyle w:val="13"/>
              <w:numPr>
                <w:ilvl w:val="0"/>
                <w:numId w:val="0"/>
              </w:numPr>
              <w:tabs>
                <w:tab w:val="left" w:pos="397"/>
              </w:tabs>
              <w:ind w:firstLine="420" w:firstLineChars="20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建议修改为：</w:t>
            </w:r>
          </w:p>
          <w:p>
            <w:pPr>
              <w:pStyle w:val="13"/>
              <w:numPr>
                <w:ilvl w:val="0"/>
                <w:numId w:val="0"/>
              </w:numPr>
              <w:tabs>
                <w:tab w:val="left" w:pos="397"/>
              </w:tabs>
              <w:ind w:firstLine="420" w:firstLineChars="20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检查燃油箱是否损坏或漏油，通过视窗检查油量，手压开关是否可用。</w:t>
            </w:r>
          </w:p>
        </w:tc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0"/>
                <w:lang w:val="en-US" w:eastAsia="zh-CN" w:bidi="ar-SA"/>
              </w:rPr>
              <w:t>去掉方位词更直观。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5.1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5.1.2b）</w:t>
            </w:r>
          </w:p>
        </w:tc>
        <w:tc>
          <w:tcPr>
            <w:tcW w:w="4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numPr>
                <w:ilvl w:val="0"/>
                <w:numId w:val="0"/>
              </w:numPr>
              <w:tabs>
                <w:tab w:val="left" w:pos="397"/>
              </w:tabs>
              <w:ind w:firstLine="420" w:firstLineChars="200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建议增设对车辆远光、近光、雾灯、夜灯、左转灯、右转灯、双闪检查和试验。</w:t>
            </w:r>
          </w:p>
        </w:tc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5.2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5.2.1e）</w:t>
            </w:r>
          </w:p>
        </w:tc>
        <w:tc>
          <w:tcPr>
            <w:tcW w:w="4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numPr>
                <w:ilvl w:val="0"/>
                <w:numId w:val="0"/>
              </w:numPr>
              <w:tabs>
                <w:tab w:val="left" w:pos="397"/>
              </w:tabs>
              <w:ind w:firstLine="420" w:firstLineChars="200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在启动卡车前要提醒附近的人，确信他们能清楚卡车动向。鸣笛，几秒后再次鸣笛，重复三次后再启动卡车。</w:t>
            </w:r>
          </w:p>
          <w:p>
            <w:pPr>
              <w:pStyle w:val="13"/>
              <w:numPr>
                <w:ilvl w:val="0"/>
                <w:numId w:val="0"/>
              </w:numPr>
              <w:tabs>
                <w:tab w:val="left" w:pos="397"/>
              </w:tabs>
              <w:ind w:firstLine="420" w:firstLineChars="20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建议修改为：</w:t>
            </w:r>
          </w:p>
          <w:p>
            <w:pPr>
              <w:pStyle w:val="13"/>
              <w:numPr>
                <w:ilvl w:val="0"/>
                <w:numId w:val="0"/>
              </w:numPr>
              <w:tabs>
                <w:tab w:val="left" w:pos="397"/>
              </w:tabs>
              <w:ind w:firstLine="420" w:firstLineChars="200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在启动卡车前应提醒附近的人，使其远离车辆行驶范围和方向。鸣笛，几秒后再次鸣笛，重复三次后再启动卡车。</w:t>
            </w:r>
          </w:p>
        </w:tc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“要”改为“应”有必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须之意。</w:t>
            </w:r>
          </w:p>
          <w:p>
            <w:pPr>
              <w:ind w:firstLine="420" w:firstLineChars="200"/>
              <w:jc w:val="both"/>
              <w:rPr>
                <w:rFonts w:hint="default" w:ascii="Times New Roman" w:hAnsi="Times New Roman" w:eastAsia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“使其远离车辆行驶范围和方向”更为准确，保障安全。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5.6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5.6.2b）</w:t>
            </w:r>
          </w:p>
        </w:tc>
        <w:tc>
          <w:tcPr>
            <w:tcW w:w="4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numPr>
                <w:ilvl w:val="0"/>
                <w:numId w:val="0"/>
              </w:numPr>
              <w:tabs>
                <w:tab w:val="left" w:pos="420"/>
              </w:tabs>
              <w:ind w:firstLine="420" w:firstLineChars="20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安全员交接班时，交接双方必须共同按交接班日志所列项目进行检查，严禁信用交接班。</w:t>
            </w:r>
          </w:p>
          <w:p>
            <w:pPr>
              <w:pStyle w:val="13"/>
              <w:numPr>
                <w:ilvl w:val="0"/>
                <w:numId w:val="0"/>
              </w:numPr>
              <w:tabs>
                <w:tab w:val="left" w:pos="397"/>
              </w:tabs>
              <w:ind w:firstLine="420" w:firstLineChars="200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建议修改为：</w:t>
            </w:r>
          </w:p>
          <w:p>
            <w:pPr>
              <w:pStyle w:val="13"/>
              <w:numPr>
                <w:ilvl w:val="0"/>
                <w:numId w:val="0"/>
              </w:numPr>
              <w:tabs>
                <w:tab w:val="left" w:pos="420"/>
              </w:tabs>
              <w:ind w:firstLine="420" w:firstLineChars="200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</w:rPr>
              <w:t>安全员交接班时，交接双方必须共同按交接班日志所列项目进行检查。</w:t>
            </w:r>
          </w:p>
        </w:tc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numPr>
                <w:ilvl w:val="0"/>
                <w:numId w:val="0"/>
              </w:numPr>
              <w:tabs>
                <w:tab w:val="left" w:pos="420"/>
              </w:tabs>
              <w:ind w:firstLine="420" w:firstLineChars="20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与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5.6.2a）“</w:t>
            </w:r>
            <w:r>
              <w:rPr>
                <w:rFonts w:hint="eastAsia" w:ascii="仿宋_GB2312" w:hAnsi="仿宋_GB2312" w:eastAsia="仿宋_GB2312" w:cs="仿宋_GB2312"/>
              </w:rPr>
              <w:t>安全员交接班时，交接双方必须在现场对职交接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”中相冲突，要求现场交接班含有</w:t>
            </w:r>
            <w:r>
              <w:rPr>
                <w:rFonts w:hint="eastAsia" w:ascii="仿宋_GB2312" w:hAnsi="仿宋_GB2312" w:eastAsia="仿宋_GB2312" w:cs="仿宋_GB2312"/>
              </w:rPr>
              <w:t>严禁信用交接班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之意</w:t>
            </w:r>
            <w:r>
              <w:rPr>
                <w:rFonts w:hint="eastAsia" w:ascii="仿宋_GB2312" w:hAnsi="仿宋_GB2312" w:eastAsia="仿宋_GB2312" w:cs="仿宋_GB2312"/>
              </w:rPr>
              <w:t>。</w:t>
            </w:r>
          </w:p>
          <w:p>
            <w:pPr>
              <w:ind w:firstLine="420" w:firstLineChars="200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</w:trPr>
        <w:tc>
          <w:tcPr>
            <w:tcW w:w="85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签字</w:t>
            </w:r>
          </w:p>
          <w:p>
            <w:pPr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年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月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日</w:t>
            </w:r>
          </w:p>
        </w:tc>
      </w:tr>
    </w:tbl>
    <w:p>
      <w:pPr>
        <w:jc w:val="lef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注：表格篇幅不够可另加页。</w:t>
      </w:r>
    </w:p>
    <w:p>
      <w:pPr>
        <w:jc w:val="left"/>
        <w:rPr>
          <w:rFonts w:hint="eastAsia" w:ascii="Times New Roman" w:hAnsi="Times New Roman" w:eastAsia="仿宋_GB2312"/>
          <w:sz w:val="28"/>
          <w:szCs w:val="28"/>
        </w:rPr>
      </w:pPr>
    </w:p>
    <w:p>
      <w:pPr>
        <w:jc w:val="left"/>
        <w:rPr>
          <w:rFonts w:hint="eastAsia" w:ascii="Times New Roman" w:hAnsi="Times New Roman" w:eastAsia="仿宋_GB2312"/>
          <w:sz w:val="28"/>
          <w:szCs w:val="28"/>
        </w:rPr>
      </w:pPr>
    </w:p>
    <w:p>
      <w:pPr>
        <w:jc w:val="center"/>
        <w:rPr>
          <w:rFonts w:hint="eastAsia" w:ascii="Times New Roman" w:hAnsi="Times New Roman" w:eastAsia="黑体"/>
          <w:sz w:val="32"/>
          <w:szCs w:val="32"/>
        </w:rPr>
      </w:pPr>
    </w:p>
    <w:p>
      <w:pPr>
        <w:jc w:val="center"/>
        <w:rPr>
          <w:rFonts w:hint="eastAsia" w:ascii="Times New Roman" w:hAnsi="Times New Roman" w:eastAsia="黑体"/>
          <w:sz w:val="32"/>
          <w:szCs w:val="32"/>
        </w:rPr>
      </w:pPr>
    </w:p>
    <w:p>
      <w:pPr>
        <w:jc w:val="center"/>
        <w:rPr>
          <w:rFonts w:hint="eastAsia" w:ascii="Times New Roman" w:hAnsi="Times New Roman" w:eastAsia="黑体"/>
          <w:sz w:val="32"/>
          <w:szCs w:val="32"/>
        </w:rPr>
      </w:pPr>
    </w:p>
    <w:p>
      <w:pPr>
        <w:jc w:val="center"/>
        <w:rPr>
          <w:rFonts w:hint="eastAsia" w:ascii="Times New Roman" w:hAnsi="Times New Roman" w:eastAsia="黑体"/>
          <w:sz w:val="32"/>
          <w:szCs w:val="32"/>
        </w:rPr>
      </w:pPr>
    </w:p>
    <w:p>
      <w:pPr>
        <w:jc w:val="center"/>
        <w:rPr>
          <w:rFonts w:hint="eastAsia" w:ascii="Times New Roman" w:hAnsi="Times New Roman" w:eastAsia="黑体"/>
          <w:sz w:val="32"/>
          <w:szCs w:val="32"/>
        </w:rPr>
      </w:pPr>
    </w:p>
    <w:p>
      <w:pPr>
        <w:jc w:val="center"/>
        <w:rPr>
          <w:rFonts w:hint="eastAsia" w:ascii="Times New Roman" w:hAnsi="Times New Roman" w:eastAsia="黑体"/>
          <w:sz w:val="32"/>
          <w:szCs w:val="32"/>
        </w:rPr>
      </w:pPr>
    </w:p>
    <w:p>
      <w:pPr>
        <w:jc w:val="both"/>
        <w:rPr>
          <w:rFonts w:hint="eastAsia" w:ascii="Times New Roman" w:hAnsi="Times New Roman" w:eastAsia="黑体"/>
          <w:sz w:val="32"/>
          <w:szCs w:val="32"/>
        </w:rPr>
      </w:pPr>
    </w:p>
    <w:p>
      <w:pPr>
        <w:jc w:val="left"/>
        <w:rPr>
          <w:rFonts w:hint="eastAsia" w:ascii="Times New Roman" w:hAnsi="Times New Roman" w:eastAsia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NkODVlMzNkYzFjMDA5MzZiMWIyNzRlODY5MzA0YzUifQ=="/>
  </w:docVars>
  <w:rsids>
    <w:rsidRoot w:val="00436ABD"/>
    <w:rsid w:val="000328E5"/>
    <w:rsid w:val="00436ABD"/>
    <w:rsid w:val="00467792"/>
    <w:rsid w:val="006D648F"/>
    <w:rsid w:val="00887EE5"/>
    <w:rsid w:val="0091161A"/>
    <w:rsid w:val="00E22D20"/>
    <w:rsid w:val="00E61151"/>
    <w:rsid w:val="06531188"/>
    <w:rsid w:val="0C20750B"/>
    <w:rsid w:val="0E0C10ED"/>
    <w:rsid w:val="128B4EA7"/>
    <w:rsid w:val="132510CA"/>
    <w:rsid w:val="14547761"/>
    <w:rsid w:val="155472BC"/>
    <w:rsid w:val="1B51102F"/>
    <w:rsid w:val="1EEC17E2"/>
    <w:rsid w:val="21611762"/>
    <w:rsid w:val="21A6639E"/>
    <w:rsid w:val="24BA3937"/>
    <w:rsid w:val="255A3011"/>
    <w:rsid w:val="28AB6E76"/>
    <w:rsid w:val="2B253ECF"/>
    <w:rsid w:val="2D2E5F39"/>
    <w:rsid w:val="30A347C1"/>
    <w:rsid w:val="315524A7"/>
    <w:rsid w:val="32093DB6"/>
    <w:rsid w:val="34EA0B06"/>
    <w:rsid w:val="36705ADA"/>
    <w:rsid w:val="36B57B46"/>
    <w:rsid w:val="37AF5DF9"/>
    <w:rsid w:val="3C4F5BD3"/>
    <w:rsid w:val="3E4525C1"/>
    <w:rsid w:val="416B2F4F"/>
    <w:rsid w:val="450B176D"/>
    <w:rsid w:val="4D3643C1"/>
    <w:rsid w:val="4E490F7A"/>
    <w:rsid w:val="53E54131"/>
    <w:rsid w:val="55D44A5C"/>
    <w:rsid w:val="571D5C8F"/>
    <w:rsid w:val="59962964"/>
    <w:rsid w:val="5A1572FC"/>
    <w:rsid w:val="5A907997"/>
    <w:rsid w:val="5C7239DB"/>
    <w:rsid w:val="5DDA6992"/>
    <w:rsid w:val="648E776C"/>
    <w:rsid w:val="6762246B"/>
    <w:rsid w:val="69B24106"/>
    <w:rsid w:val="6BF40C9A"/>
    <w:rsid w:val="721203DA"/>
    <w:rsid w:val="74FD53E2"/>
    <w:rsid w:val="79773DE2"/>
    <w:rsid w:val="79841E3B"/>
    <w:rsid w:val="7D852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pBdr>
        <w:left w:val="none" w:color="auto" w:sz="0" w:space="0"/>
        <w:right w:val="none" w:color="auto" w:sz="0" w:space="0"/>
      </w:pBdr>
      <w:spacing w:line="510" w:lineRule="atLeast"/>
      <w:jc w:val="left"/>
    </w:pPr>
    <w:rPr>
      <w:b/>
      <w:bCs/>
      <w:kern w:val="0"/>
      <w:lang w:val="en-US" w:eastAsia="zh-CN" w:bidi="ar"/>
    </w:rPr>
  </w:style>
  <w:style w:type="character" w:styleId="8">
    <w:name w:val="FollowedHyperlink"/>
    <w:basedOn w:val="7"/>
    <w:semiHidden/>
    <w:unhideWhenUsed/>
    <w:qFormat/>
    <w:uiPriority w:val="99"/>
    <w:rPr>
      <w:color w:val="005C81"/>
      <w:u w:val="none"/>
    </w:rPr>
  </w:style>
  <w:style w:type="character" w:styleId="9">
    <w:name w:val="Emphasis"/>
    <w:basedOn w:val="7"/>
    <w:qFormat/>
    <w:uiPriority w:val="20"/>
  </w:style>
  <w:style w:type="character" w:styleId="10">
    <w:name w:val="Hyperlink"/>
    <w:basedOn w:val="7"/>
    <w:semiHidden/>
    <w:unhideWhenUsed/>
    <w:qFormat/>
    <w:uiPriority w:val="99"/>
    <w:rPr>
      <w:color w:val="005C81"/>
      <w:u w:val="none"/>
    </w:rPr>
  </w:style>
  <w:style w:type="character" w:customStyle="1" w:styleId="11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3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2640</Words>
  <Characters>2783</Characters>
  <Lines>1</Lines>
  <Paragraphs>1</Paragraphs>
  <TotalTime>0</TotalTime>
  <ScaleCrop>false</ScaleCrop>
  <LinksUpToDate>false</LinksUpToDate>
  <CharactersWithSpaces>2814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2022-08-26T08:44:00Z</dcterms:created>
  <dc:creator>q'w</dc:creator>
  <cp:lastModifiedBy>Administrator</cp:lastModifiedBy>
  <dcterms:modified xsi:type="dcterms:W3CDTF">2023-03-31T09:03:58Z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833D0BA96E514A2DB6FC3EB586834C25</vt:lpwstr>
  </property>
</Properties>
</file>